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BC2" w:rsidRPr="00893AF4" w:rsidRDefault="007A1BC2" w:rsidP="007A1BC2">
      <w:pPr>
        <w:tabs>
          <w:tab w:val="left" w:pos="7684"/>
        </w:tabs>
        <w:spacing w:after="0"/>
        <w:rPr>
          <w:rFonts w:ascii="Times New Roman" w:hAnsi="Times New Roman" w:cs="Times New Roman"/>
          <w:lang w:val="it-IT"/>
        </w:rPr>
      </w:pPr>
      <w:r w:rsidRPr="00893AF4">
        <w:rPr>
          <w:rFonts w:ascii="Times New Roman" w:hAnsi="Times New Roman" w:cs="Times New Roman"/>
          <w:lang w:val="it-IT"/>
        </w:rPr>
        <w:tab/>
      </w:r>
    </w:p>
    <w:p w:rsidR="007A1BC2" w:rsidRPr="00EE5017" w:rsidRDefault="00EE5017" w:rsidP="007A1B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893AF4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690A2330" wp14:editId="44F4DC34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485775" cy="628015"/>
            <wp:effectExtent l="0" t="0" r="9525" b="635"/>
            <wp:wrapNone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AF4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3A99C2A" wp14:editId="7CD8F270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504825" cy="585470"/>
            <wp:effectExtent l="0" t="0" r="9525" b="5080"/>
            <wp:wrapNone/>
            <wp:docPr id="13" name="Imagin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BC2" w:rsidRPr="00EE5017">
        <w:rPr>
          <w:rFonts w:ascii="Times New Roman" w:hAnsi="Times New Roman" w:cs="Times New Roman"/>
          <w:b/>
          <w:bCs/>
          <w:sz w:val="28"/>
          <w:szCs w:val="28"/>
          <w:lang w:val="it-IT"/>
        </w:rPr>
        <w:t>REPUBLICA MOLDOVA</w:t>
      </w:r>
    </w:p>
    <w:p w:rsidR="007A1BC2" w:rsidRPr="00EE5017" w:rsidRDefault="007A1BC2" w:rsidP="007A1B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EE5017">
        <w:rPr>
          <w:rFonts w:ascii="Times New Roman" w:hAnsi="Times New Roman" w:cs="Times New Roman"/>
          <w:b/>
          <w:bCs/>
          <w:sz w:val="28"/>
          <w:szCs w:val="28"/>
          <w:lang w:val="it-IT"/>
        </w:rPr>
        <w:t>CONSILIUL RAIONAL NISPORENI</w:t>
      </w:r>
    </w:p>
    <w:p w:rsidR="007A1BC2" w:rsidRPr="00893AF4" w:rsidRDefault="007A1BC2" w:rsidP="00EE5017">
      <w:pPr>
        <w:pBdr>
          <w:bottom w:val="thinThickThinSmallGap" w:sz="24" w:space="2" w:color="auto"/>
        </w:pBdr>
        <w:spacing w:after="0"/>
        <w:rPr>
          <w:rFonts w:ascii="Times New Roman" w:hAnsi="Times New Roman" w:cs="Times New Roman"/>
          <w:lang w:val="it-IT"/>
        </w:rPr>
      </w:pPr>
    </w:p>
    <w:p w:rsidR="007A1BC2" w:rsidRPr="006B57C5" w:rsidRDefault="007A1BC2" w:rsidP="007A1BC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Proiect </w:t>
      </w:r>
    </w:p>
    <w:p w:rsidR="001063A9" w:rsidRPr="001063A9" w:rsidRDefault="007A1BC2" w:rsidP="001063A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2F66">
        <w:rPr>
          <w:rFonts w:ascii="Times New Roman" w:hAnsi="Times New Roman" w:cs="Times New Roman"/>
          <w:b/>
          <w:bCs/>
          <w:sz w:val="26"/>
          <w:szCs w:val="26"/>
        </w:rPr>
        <w:t xml:space="preserve">DECIZIE nr. </w:t>
      </w:r>
      <w:r w:rsidR="001063A9">
        <w:rPr>
          <w:rFonts w:ascii="Times New Roman" w:hAnsi="Times New Roman" w:cs="Times New Roman"/>
          <w:b/>
          <w:bCs/>
          <w:sz w:val="26"/>
          <w:szCs w:val="26"/>
        </w:rPr>
        <w:t>1/11</w:t>
      </w:r>
      <w:bookmarkStart w:id="0" w:name="_GoBack"/>
      <w:bookmarkEnd w:id="0"/>
    </w:p>
    <w:p w:rsidR="00AC7D65" w:rsidRDefault="00AC7D65" w:rsidP="007A1BC2">
      <w:pPr>
        <w:spacing w:after="0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:rsidR="007A1BC2" w:rsidRPr="009073FC" w:rsidRDefault="007A1BC2" w:rsidP="007A1BC2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073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din </w:t>
      </w:r>
      <w:r w:rsidR="00EE501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19 </w:t>
      </w:r>
      <w:r w:rsidR="00D041BB" w:rsidRPr="009073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februarie</w:t>
      </w:r>
      <w:r w:rsidRPr="009073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202</w:t>
      </w:r>
      <w:r w:rsidR="00F45552" w:rsidRPr="009073FC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Pr="009073FC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9073FC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9073FC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9073FC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                     </w:t>
      </w:r>
      <w:r w:rsidRPr="009073FC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9073FC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  or. Nisporeni</w:t>
      </w:r>
    </w:p>
    <w:p w:rsidR="007A1BC2" w:rsidRPr="006D2F66" w:rsidRDefault="007A1BC2" w:rsidP="007A1BC2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D041BB" w:rsidRPr="00DB5861" w:rsidRDefault="00D041BB" w:rsidP="007A1BC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B5861">
        <w:rPr>
          <w:rFonts w:ascii="Times New Roman" w:hAnsi="Times New Roman" w:cs="Times New Roman"/>
          <w:b/>
          <w:i/>
          <w:sz w:val="28"/>
          <w:szCs w:val="28"/>
        </w:rPr>
        <w:t xml:space="preserve">Cu privire la modificarea Deciziei Consiliului raional </w:t>
      </w:r>
    </w:p>
    <w:p w:rsidR="00AC7D65" w:rsidRPr="00DB5861" w:rsidRDefault="00D041BB" w:rsidP="007A1BC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B5861">
        <w:rPr>
          <w:rFonts w:ascii="Times New Roman" w:hAnsi="Times New Roman" w:cs="Times New Roman"/>
          <w:b/>
          <w:i/>
          <w:sz w:val="28"/>
          <w:szCs w:val="28"/>
        </w:rPr>
        <w:t xml:space="preserve">nr. </w:t>
      </w:r>
      <w:r w:rsidR="00F45552" w:rsidRPr="00DB5861">
        <w:rPr>
          <w:rFonts w:ascii="Times New Roman" w:hAnsi="Times New Roman" w:cs="Times New Roman"/>
          <w:b/>
          <w:i/>
          <w:sz w:val="28"/>
          <w:szCs w:val="28"/>
        </w:rPr>
        <w:t>5/10</w:t>
      </w:r>
      <w:r w:rsidRPr="00DB5861">
        <w:rPr>
          <w:rFonts w:ascii="Times New Roman" w:hAnsi="Times New Roman" w:cs="Times New Roman"/>
          <w:b/>
          <w:i/>
          <w:sz w:val="28"/>
          <w:szCs w:val="28"/>
        </w:rPr>
        <w:t xml:space="preserve"> din </w:t>
      </w:r>
      <w:r w:rsidR="00F45552" w:rsidRPr="00DB5861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Pr="00DB5861">
        <w:rPr>
          <w:rFonts w:ascii="Times New Roman" w:hAnsi="Times New Roman" w:cs="Times New Roman"/>
          <w:b/>
          <w:i/>
          <w:sz w:val="28"/>
          <w:szCs w:val="28"/>
        </w:rPr>
        <w:t xml:space="preserve"> decembrie 202</w:t>
      </w:r>
      <w:r w:rsidR="00F45552" w:rsidRPr="00DB586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DB5861">
        <w:rPr>
          <w:rFonts w:ascii="Times New Roman" w:hAnsi="Times New Roman" w:cs="Times New Roman"/>
          <w:b/>
          <w:i/>
          <w:sz w:val="28"/>
          <w:szCs w:val="28"/>
        </w:rPr>
        <w:t xml:space="preserve"> „</w:t>
      </w:r>
      <w:r w:rsidR="007A1BC2" w:rsidRPr="00DB5861">
        <w:rPr>
          <w:rFonts w:ascii="Times New Roman" w:hAnsi="Times New Roman" w:cs="Times New Roman"/>
          <w:b/>
          <w:i/>
          <w:sz w:val="28"/>
          <w:szCs w:val="28"/>
        </w:rPr>
        <w:t xml:space="preserve">Cu privire la </w:t>
      </w:r>
    </w:p>
    <w:p w:rsidR="007A1BC2" w:rsidRPr="00DB5861" w:rsidRDefault="007A1BC2" w:rsidP="007A1BC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B5861">
        <w:rPr>
          <w:rFonts w:ascii="Times New Roman" w:hAnsi="Times New Roman" w:cs="Times New Roman"/>
          <w:b/>
          <w:i/>
          <w:sz w:val="28"/>
          <w:szCs w:val="28"/>
        </w:rPr>
        <w:t xml:space="preserve">aprobarea  organigramei și efectivului-limită </w:t>
      </w:r>
    </w:p>
    <w:p w:rsidR="007A1BC2" w:rsidRPr="00DB5861" w:rsidRDefault="007A1BC2" w:rsidP="007A1BC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B5861">
        <w:rPr>
          <w:rFonts w:ascii="Times New Roman" w:hAnsi="Times New Roman" w:cs="Times New Roman"/>
          <w:b/>
          <w:i/>
          <w:sz w:val="28"/>
          <w:szCs w:val="28"/>
        </w:rPr>
        <w:t xml:space="preserve">al Aparatului Președintelui raionului și subdiviziunilor </w:t>
      </w:r>
    </w:p>
    <w:p w:rsidR="007A1BC2" w:rsidRPr="00DB5861" w:rsidRDefault="007A1BC2" w:rsidP="007A1BC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B5861">
        <w:rPr>
          <w:rFonts w:ascii="Times New Roman" w:hAnsi="Times New Roman" w:cs="Times New Roman"/>
          <w:b/>
          <w:i/>
          <w:sz w:val="28"/>
          <w:szCs w:val="28"/>
        </w:rPr>
        <w:t>subordonate Consiliului raional</w:t>
      </w:r>
      <w:r w:rsidR="00D041BB" w:rsidRPr="00DB5861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DB5861">
        <w:rPr>
          <w:rFonts w:ascii="Times New Roman" w:hAnsi="Times New Roman" w:cs="Times New Roman"/>
          <w:i/>
          <w:sz w:val="28"/>
          <w:szCs w:val="28"/>
        </w:rPr>
        <w:t>.</w:t>
      </w:r>
    </w:p>
    <w:p w:rsidR="007A1BC2" w:rsidRPr="00DB5861" w:rsidRDefault="007A1BC2" w:rsidP="007A1B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1BC2" w:rsidRPr="00DB5861" w:rsidRDefault="007A1BC2" w:rsidP="007A1B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5861">
        <w:rPr>
          <w:rFonts w:ascii="Times New Roman" w:hAnsi="Times New Roman" w:cs="Times New Roman"/>
          <w:sz w:val="28"/>
          <w:szCs w:val="28"/>
        </w:rPr>
        <w:t xml:space="preserve">      În conformitate cu art. 43 al. (1) lit. a)  din Legea privind administrația publică locală nr. 436-XVI din 28.12.2006, art. </w:t>
      </w:r>
      <w:r w:rsidR="009073FC">
        <w:rPr>
          <w:rFonts w:ascii="Times New Roman" w:hAnsi="Times New Roman" w:cs="Times New Roman"/>
          <w:sz w:val="28"/>
          <w:szCs w:val="28"/>
        </w:rPr>
        <w:t>62</w:t>
      </w:r>
      <w:r w:rsidRPr="00DB5861">
        <w:rPr>
          <w:rFonts w:ascii="Times New Roman" w:hAnsi="Times New Roman" w:cs="Times New Roman"/>
          <w:sz w:val="28"/>
          <w:szCs w:val="28"/>
        </w:rPr>
        <w:t xml:space="preserve"> al Legii nr. </w:t>
      </w:r>
      <w:r w:rsidR="00F45552" w:rsidRPr="00DB5861">
        <w:rPr>
          <w:rFonts w:ascii="Times New Roman" w:hAnsi="Times New Roman" w:cs="Times New Roman"/>
          <w:sz w:val="28"/>
          <w:szCs w:val="28"/>
        </w:rPr>
        <w:t>100</w:t>
      </w:r>
      <w:r w:rsidRPr="00DB5861">
        <w:rPr>
          <w:rFonts w:ascii="Times New Roman" w:hAnsi="Times New Roman" w:cs="Times New Roman"/>
          <w:sz w:val="28"/>
          <w:szCs w:val="28"/>
        </w:rPr>
        <w:t xml:space="preserve"> din 2</w:t>
      </w:r>
      <w:r w:rsidR="00F45552" w:rsidRPr="00DB5861">
        <w:rPr>
          <w:rFonts w:ascii="Times New Roman" w:hAnsi="Times New Roman" w:cs="Times New Roman"/>
          <w:sz w:val="28"/>
          <w:szCs w:val="28"/>
        </w:rPr>
        <w:t>2</w:t>
      </w:r>
      <w:r w:rsidRPr="00DB5861">
        <w:rPr>
          <w:rFonts w:ascii="Times New Roman" w:hAnsi="Times New Roman" w:cs="Times New Roman"/>
          <w:sz w:val="28"/>
          <w:szCs w:val="28"/>
        </w:rPr>
        <w:t>.</w:t>
      </w:r>
      <w:r w:rsidR="00F45552" w:rsidRPr="00DB5861">
        <w:rPr>
          <w:rFonts w:ascii="Times New Roman" w:hAnsi="Times New Roman" w:cs="Times New Roman"/>
          <w:sz w:val="28"/>
          <w:szCs w:val="28"/>
        </w:rPr>
        <w:t>12.2017</w:t>
      </w:r>
      <w:r w:rsidRPr="00DB5861">
        <w:rPr>
          <w:rFonts w:ascii="Times New Roman" w:hAnsi="Times New Roman" w:cs="Times New Roman"/>
          <w:sz w:val="28"/>
          <w:szCs w:val="28"/>
        </w:rPr>
        <w:t xml:space="preserve"> </w:t>
      </w:r>
      <w:r w:rsidR="00F45552" w:rsidRPr="00DB5861">
        <w:rPr>
          <w:rStyle w:val="docheader1"/>
          <w:rFonts w:cs="Times New Roman"/>
          <w:b w:val="0"/>
          <w:bCs/>
          <w:sz w:val="28"/>
          <w:szCs w:val="28"/>
        </w:rPr>
        <w:t>cu privire la actele normative</w:t>
      </w:r>
      <w:r w:rsidRPr="00DB5861">
        <w:rPr>
          <w:rStyle w:val="docheader1"/>
          <w:rFonts w:cs="Times New Roman"/>
          <w:b w:val="0"/>
          <w:bCs/>
          <w:sz w:val="28"/>
          <w:szCs w:val="28"/>
        </w:rPr>
        <w:t xml:space="preserve">, Clasificatorul ocupațiilor din Republica Moldova, </w:t>
      </w:r>
      <w:r w:rsidR="00E11F81" w:rsidRPr="00DB5861">
        <w:rPr>
          <w:rFonts w:ascii="Times New Roman" w:hAnsi="Times New Roman" w:cs="Times New Roman"/>
          <w:color w:val="000000"/>
          <w:sz w:val="28"/>
          <w:szCs w:val="28"/>
        </w:rPr>
        <w:t>urmare solicitărilor parvenite</w:t>
      </w:r>
      <w:r w:rsidR="009073FC">
        <w:rPr>
          <w:rFonts w:ascii="Times New Roman" w:hAnsi="Times New Roman" w:cs="Times New Roman"/>
          <w:color w:val="000000"/>
          <w:sz w:val="28"/>
          <w:szCs w:val="28"/>
        </w:rPr>
        <w:t xml:space="preserve"> din partea Direcției învățământ</w:t>
      </w:r>
      <w:r w:rsidR="00E11F81" w:rsidRPr="00DB586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073FC">
        <w:rPr>
          <w:rFonts w:ascii="Times New Roman" w:hAnsi="Times New Roman" w:cs="Times New Roman"/>
          <w:color w:val="000000"/>
          <w:sz w:val="28"/>
          <w:szCs w:val="28"/>
        </w:rPr>
        <w:t xml:space="preserve"> tineret și sport,</w:t>
      </w:r>
      <w:r w:rsidRPr="00DB58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5861">
        <w:rPr>
          <w:rFonts w:ascii="Times New Roman" w:hAnsi="Times New Roman" w:cs="Times New Roman"/>
          <w:sz w:val="28"/>
          <w:szCs w:val="28"/>
        </w:rPr>
        <w:t>Consiliul raional,</w:t>
      </w:r>
    </w:p>
    <w:p w:rsidR="00F464D7" w:rsidRPr="00DB5861" w:rsidRDefault="00F464D7" w:rsidP="007A1B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BC2" w:rsidRPr="00DB5861" w:rsidRDefault="007A1BC2" w:rsidP="007A1B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861"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7A1BC2" w:rsidRPr="00DB5861" w:rsidRDefault="007A1BC2" w:rsidP="007A1B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388" w:rsidRPr="00DB5861" w:rsidRDefault="00EE2388" w:rsidP="00EE50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861">
        <w:rPr>
          <w:rFonts w:ascii="Times New Roman" w:hAnsi="Times New Roman" w:cs="Times New Roman"/>
          <w:sz w:val="28"/>
          <w:szCs w:val="28"/>
          <w:lang w:val="it-IT"/>
        </w:rPr>
        <w:t xml:space="preserve">Se modifică Decizia </w:t>
      </w:r>
      <w:r w:rsidR="00B35FA1" w:rsidRPr="00DB5861">
        <w:rPr>
          <w:rFonts w:ascii="Times New Roman" w:hAnsi="Times New Roman" w:cs="Times New Roman"/>
          <w:sz w:val="28"/>
          <w:szCs w:val="28"/>
          <w:lang w:val="it-IT"/>
        </w:rPr>
        <w:t xml:space="preserve">Consiliului raional nr. </w:t>
      </w:r>
      <w:r w:rsidR="00F464D7" w:rsidRPr="00EE5017">
        <w:rPr>
          <w:rFonts w:ascii="Times New Roman" w:hAnsi="Times New Roman" w:cs="Times New Roman"/>
          <w:i/>
          <w:sz w:val="28"/>
          <w:szCs w:val="28"/>
        </w:rPr>
        <w:t>5</w:t>
      </w:r>
      <w:r w:rsidR="008D3D85" w:rsidRPr="00EE5017">
        <w:rPr>
          <w:rFonts w:ascii="Times New Roman" w:hAnsi="Times New Roman" w:cs="Times New Roman"/>
          <w:i/>
          <w:sz w:val="28"/>
          <w:szCs w:val="28"/>
        </w:rPr>
        <w:t>/1</w:t>
      </w:r>
      <w:r w:rsidR="00F464D7" w:rsidRPr="00EE5017">
        <w:rPr>
          <w:rFonts w:ascii="Times New Roman" w:hAnsi="Times New Roman" w:cs="Times New Roman"/>
          <w:i/>
          <w:sz w:val="28"/>
          <w:szCs w:val="28"/>
        </w:rPr>
        <w:t>0</w:t>
      </w:r>
      <w:r w:rsidR="008D3D85" w:rsidRPr="00EE5017">
        <w:rPr>
          <w:rFonts w:ascii="Times New Roman" w:hAnsi="Times New Roman" w:cs="Times New Roman"/>
          <w:i/>
          <w:sz w:val="28"/>
          <w:szCs w:val="28"/>
        </w:rPr>
        <w:t xml:space="preserve"> din 1</w:t>
      </w:r>
      <w:r w:rsidR="00F464D7" w:rsidRPr="00EE5017">
        <w:rPr>
          <w:rFonts w:ascii="Times New Roman" w:hAnsi="Times New Roman" w:cs="Times New Roman"/>
          <w:i/>
          <w:sz w:val="28"/>
          <w:szCs w:val="28"/>
        </w:rPr>
        <w:t>8</w:t>
      </w:r>
      <w:r w:rsidR="008D3D85" w:rsidRPr="00EE5017">
        <w:rPr>
          <w:rFonts w:ascii="Times New Roman" w:hAnsi="Times New Roman" w:cs="Times New Roman"/>
          <w:i/>
          <w:sz w:val="28"/>
          <w:szCs w:val="28"/>
        </w:rPr>
        <w:t xml:space="preserve"> decembrie 202</w:t>
      </w:r>
      <w:r w:rsidR="00F464D7" w:rsidRPr="00EE5017">
        <w:rPr>
          <w:rFonts w:ascii="Times New Roman" w:hAnsi="Times New Roman" w:cs="Times New Roman"/>
          <w:i/>
          <w:sz w:val="28"/>
          <w:szCs w:val="28"/>
        </w:rPr>
        <w:t>5</w:t>
      </w:r>
      <w:r w:rsidR="008D3D85" w:rsidRPr="00EE5017">
        <w:rPr>
          <w:rFonts w:ascii="Times New Roman" w:hAnsi="Times New Roman" w:cs="Times New Roman"/>
          <w:i/>
          <w:sz w:val="28"/>
          <w:szCs w:val="28"/>
        </w:rPr>
        <w:t xml:space="preserve"> „Cu privire la aprobarea  organigramei și efectivului-limită al Aparatului Președintelui raionului și subdiviziunilor subordonate Consiliului raional”,</w:t>
      </w:r>
      <w:r w:rsidR="008D3D85" w:rsidRPr="00DB58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1F81" w:rsidRPr="00DB5861">
        <w:rPr>
          <w:rFonts w:ascii="Times New Roman" w:hAnsi="Times New Roman" w:cs="Times New Roman"/>
          <w:sz w:val="28"/>
          <w:szCs w:val="28"/>
        </w:rPr>
        <w:t>după cum urmează</w:t>
      </w:r>
      <w:r w:rsidR="008D3D85" w:rsidRPr="00DB586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74792" w:rsidRPr="00DB5861" w:rsidRDefault="00B123A3" w:rsidP="00EE501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/>
        </w:rPr>
      </w:pPr>
      <w:r w:rsidRPr="00DB5861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în Direcția învățământ, tineret și sport</w:t>
      </w:r>
      <w:r w:rsidR="00490C75" w:rsidRPr="00DB5861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, </w:t>
      </w:r>
      <w:r w:rsidR="00392446" w:rsidRPr="00EE5017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 w:eastAsia="ru-RU"/>
        </w:rPr>
        <w:t xml:space="preserve">Servicii pe lângă </w:t>
      </w:r>
      <w:r w:rsidR="00FD26AF" w:rsidRPr="00EE5017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 w:eastAsia="ru-RU"/>
        </w:rPr>
        <w:t>Direcția învățământ, tineret și sport, p. 2.2</w:t>
      </w:r>
      <w:r w:rsidR="00FD26AF" w:rsidRPr="00EE5017">
        <w:rPr>
          <w:rFonts w:ascii="Times New Roman" w:hAnsi="Times New Roman" w:cs="Times New Roman"/>
          <w:color w:val="000000" w:themeColor="text1"/>
          <w:sz w:val="28"/>
          <w:szCs w:val="28"/>
          <w:lang w:val="it-IT" w:eastAsia="ru-RU"/>
        </w:rPr>
        <w:t>.</w:t>
      </w:r>
      <w:r w:rsidR="00FD26AF" w:rsidRPr="00DB5861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 w:eastAsia="ru-RU"/>
        </w:rPr>
        <w:t xml:space="preserve"> </w:t>
      </w:r>
      <w:r w:rsidR="00490C75" w:rsidRPr="00DB5861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 w:eastAsia="ru-RU"/>
        </w:rPr>
        <w:t>(</w:t>
      </w:r>
      <w:r w:rsidR="00FD26AF" w:rsidRPr="00DB5861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 w:eastAsia="ru-RU"/>
        </w:rPr>
        <w:t>Centrul de Creație al Copiilor Nisporeni</w:t>
      </w:r>
      <w:r w:rsidR="00490C75" w:rsidRPr="00DB5861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 w:eastAsia="ru-RU"/>
        </w:rPr>
        <w:t>)</w:t>
      </w:r>
      <w:r w:rsidR="00022ED8" w:rsidRPr="00DB5861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 w:eastAsia="ru-RU"/>
        </w:rPr>
        <w:t xml:space="preserve"> (Anexa nr. 8)</w:t>
      </w:r>
      <w:r w:rsidR="009C319D" w:rsidRPr="00DB5861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 w:eastAsia="ru-RU"/>
        </w:rPr>
        <w:t xml:space="preserve"> se reduc</w:t>
      </w:r>
      <w:r w:rsidR="00310975" w:rsidRPr="00DB5861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 w:eastAsia="ru-RU"/>
        </w:rPr>
        <w:t xml:space="preserve"> </w:t>
      </w:r>
      <w:r w:rsidR="009C319D" w:rsidRPr="00DB5861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 w:eastAsia="ru-RU"/>
        </w:rPr>
        <w:t xml:space="preserve">2 unități de </w:t>
      </w:r>
      <w:r w:rsidR="00310975" w:rsidRPr="00DB5861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 w:eastAsia="ru-RU"/>
        </w:rPr>
        <w:t>„</w:t>
      </w:r>
      <w:r w:rsidR="009C319D" w:rsidRPr="00DB5861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 w:eastAsia="ru-RU"/>
        </w:rPr>
        <w:t>paznic</w:t>
      </w:r>
      <w:r w:rsidR="00D3467F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 w:eastAsia="ru-RU"/>
        </w:rPr>
        <w:t>/paznică</w:t>
      </w:r>
      <w:r w:rsidR="00310975" w:rsidRPr="00DB5861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 w:eastAsia="ru-RU"/>
        </w:rPr>
        <w:t>”</w:t>
      </w:r>
      <w:r w:rsidR="00483291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 w:eastAsia="ru-RU"/>
        </w:rPr>
        <w:t>.</w:t>
      </w:r>
    </w:p>
    <w:p w:rsidR="00074792" w:rsidRPr="00087194" w:rsidRDefault="00074792" w:rsidP="00EE5017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B5861">
        <w:rPr>
          <w:rFonts w:ascii="Times New Roman" w:hAnsi="Times New Roman" w:cs="Times New Roman"/>
          <w:sz w:val="28"/>
          <w:szCs w:val="28"/>
          <w:lang w:val="it-IT"/>
        </w:rPr>
        <w:t xml:space="preserve">Corespunzător, </w:t>
      </w:r>
      <w:r w:rsidR="00181097">
        <w:rPr>
          <w:rFonts w:ascii="Times New Roman" w:hAnsi="Times New Roman" w:cs="Times New Roman"/>
          <w:sz w:val="28"/>
          <w:szCs w:val="28"/>
          <w:lang w:val="it-IT"/>
        </w:rPr>
        <w:t>în anexa nr. 8</w:t>
      </w:r>
      <w:r w:rsidRPr="00DB5861">
        <w:rPr>
          <w:rFonts w:ascii="Times New Roman" w:hAnsi="Times New Roman" w:cs="Times New Roman"/>
          <w:sz w:val="28"/>
          <w:szCs w:val="28"/>
          <w:lang w:val="it-IT"/>
        </w:rPr>
        <w:t xml:space="preserve">, se modifică „total </w:t>
      </w:r>
      <w:r w:rsidR="00843C7A" w:rsidRPr="00DB5861">
        <w:rPr>
          <w:rFonts w:ascii="Times New Roman" w:hAnsi="Times New Roman" w:cs="Times New Roman"/>
          <w:sz w:val="28"/>
          <w:szCs w:val="28"/>
          <w:lang w:val="it-IT"/>
        </w:rPr>
        <w:t>Centru</w:t>
      </w:r>
      <w:r w:rsidRPr="00DB5861">
        <w:rPr>
          <w:rFonts w:ascii="Times New Roman" w:hAnsi="Times New Roman" w:cs="Times New Roman"/>
          <w:sz w:val="28"/>
          <w:szCs w:val="28"/>
          <w:lang w:val="it-IT"/>
        </w:rPr>
        <w:t xml:space="preserve"> – </w:t>
      </w:r>
      <w:r w:rsidR="00843C7A" w:rsidRPr="00DB5861">
        <w:rPr>
          <w:rFonts w:ascii="Times New Roman" w:hAnsi="Times New Roman" w:cs="Times New Roman"/>
          <w:sz w:val="28"/>
          <w:szCs w:val="28"/>
          <w:lang w:val="it-IT"/>
        </w:rPr>
        <w:t>12 unități</w:t>
      </w:r>
      <w:r w:rsidRPr="00DB5861">
        <w:rPr>
          <w:rFonts w:ascii="Times New Roman" w:hAnsi="Times New Roman" w:cs="Times New Roman"/>
          <w:sz w:val="28"/>
          <w:szCs w:val="28"/>
          <w:lang w:val="it-IT"/>
        </w:rPr>
        <w:t xml:space="preserve">”, „total Direcție învățământ, tineret și sport – </w:t>
      </w:r>
      <w:r w:rsidR="00843C7A" w:rsidRPr="00DB5861">
        <w:rPr>
          <w:rFonts w:ascii="Times New Roman" w:hAnsi="Times New Roman" w:cs="Times New Roman"/>
          <w:sz w:val="28"/>
          <w:szCs w:val="28"/>
          <w:lang w:val="it-IT"/>
        </w:rPr>
        <w:t>32</w:t>
      </w:r>
      <w:r w:rsidRPr="00DB5861">
        <w:rPr>
          <w:rFonts w:ascii="Times New Roman" w:hAnsi="Times New Roman" w:cs="Times New Roman"/>
          <w:sz w:val="28"/>
          <w:szCs w:val="28"/>
          <w:lang w:val="it-IT"/>
        </w:rPr>
        <w:t>,5”</w:t>
      </w:r>
      <w:r w:rsidR="00483291">
        <w:rPr>
          <w:rFonts w:ascii="Times New Roman" w:hAnsi="Times New Roman" w:cs="Times New Roman"/>
          <w:sz w:val="28"/>
          <w:szCs w:val="28"/>
          <w:lang w:val="it-IT"/>
        </w:rPr>
        <w:t xml:space="preserve"> (</w:t>
      </w:r>
      <w:r w:rsidR="00483291" w:rsidRPr="00483291">
        <w:rPr>
          <w:rFonts w:ascii="Times New Roman" w:hAnsi="Times New Roman" w:cs="Times New Roman"/>
          <w:i/>
          <w:sz w:val="24"/>
          <w:szCs w:val="24"/>
          <w:lang w:val="it-IT"/>
        </w:rPr>
        <w:t>cu modificarea respectivă și în anexa nr. 2</w:t>
      </w:r>
      <w:r w:rsidR="00483291">
        <w:rPr>
          <w:rFonts w:ascii="Times New Roman" w:hAnsi="Times New Roman" w:cs="Times New Roman"/>
          <w:sz w:val="28"/>
          <w:szCs w:val="28"/>
          <w:lang w:val="it-IT"/>
        </w:rPr>
        <w:t>)</w:t>
      </w:r>
      <w:r w:rsidRPr="00DB5861">
        <w:rPr>
          <w:rFonts w:ascii="Times New Roman" w:hAnsi="Times New Roman" w:cs="Times New Roman"/>
          <w:sz w:val="28"/>
          <w:szCs w:val="28"/>
          <w:lang w:val="it-IT"/>
        </w:rPr>
        <w:t xml:space="preserve"> și </w:t>
      </w:r>
      <w:r w:rsidR="00181097">
        <w:rPr>
          <w:rFonts w:ascii="Times New Roman" w:hAnsi="Times New Roman" w:cs="Times New Roman"/>
          <w:sz w:val="28"/>
          <w:szCs w:val="28"/>
          <w:lang w:val="it-IT"/>
        </w:rPr>
        <w:t xml:space="preserve">în anexa nr. 2 se </w:t>
      </w:r>
      <w:r w:rsidR="00181097" w:rsidRPr="00EE5017">
        <w:rPr>
          <w:rFonts w:ascii="Times New Roman" w:hAnsi="Times New Roman" w:cs="Times New Roman"/>
          <w:sz w:val="28"/>
          <w:szCs w:val="28"/>
          <w:lang w:val="it-IT"/>
        </w:rPr>
        <w:t xml:space="preserve">modifică </w:t>
      </w:r>
      <w:r w:rsidR="009C7475" w:rsidRPr="00EE5017">
        <w:rPr>
          <w:rFonts w:ascii="Times New Roman" w:hAnsi="Times New Roman" w:cs="Times New Roman"/>
          <w:sz w:val="28"/>
          <w:szCs w:val="28"/>
          <w:lang w:val="it-IT"/>
        </w:rPr>
        <w:t>„</w:t>
      </w:r>
      <w:r w:rsidRPr="00EE5017">
        <w:rPr>
          <w:rFonts w:ascii="Times New Roman" w:hAnsi="Times New Roman" w:cs="Times New Roman"/>
          <w:sz w:val="28"/>
          <w:szCs w:val="28"/>
          <w:lang w:val="it-IT"/>
        </w:rPr>
        <w:t xml:space="preserve">total </w:t>
      </w:r>
      <w:r w:rsidR="00181097" w:rsidRPr="00EE5017">
        <w:rPr>
          <w:rFonts w:ascii="Times New Roman" w:hAnsi="Times New Roman" w:cs="Times New Roman"/>
          <w:sz w:val="28"/>
          <w:szCs w:val="28"/>
          <w:lang w:val="it-IT"/>
        </w:rPr>
        <w:t>funcții</w:t>
      </w:r>
      <w:r w:rsidRPr="00EE5017">
        <w:rPr>
          <w:rFonts w:ascii="Times New Roman" w:hAnsi="Times New Roman" w:cs="Times New Roman"/>
          <w:sz w:val="28"/>
          <w:szCs w:val="28"/>
          <w:lang w:val="it-IT"/>
        </w:rPr>
        <w:t xml:space="preserve"> – </w:t>
      </w:r>
      <w:r w:rsidR="00DB5861" w:rsidRPr="00EE5017">
        <w:rPr>
          <w:rFonts w:ascii="Times New Roman" w:hAnsi="Times New Roman" w:cs="Times New Roman"/>
          <w:sz w:val="28"/>
          <w:szCs w:val="28"/>
          <w:lang w:val="it-IT"/>
        </w:rPr>
        <w:t>234</w:t>
      </w:r>
      <w:r w:rsidRPr="00EE5017">
        <w:rPr>
          <w:rFonts w:ascii="Times New Roman" w:hAnsi="Times New Roman" w:cs="Times New Roman"/>
          <w:sz w:val="28"/>
          <w:szCs w:val="28"/>
          <w:lang w:val="it-IT"/>
        </w:rPr>
        <w:t>,29”</w:t>
      </w:r>
      <w:r w:rsidRPr="00DB5861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7A1BC2" w:rsidRPr="00DB5861" w:rsidRDefault="007A1BC2" w:rsidP="00EE501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DB5861">
        <w:rPr>
          <w:rFonts w:ascii="Times New Roman" w:hAnsi="Times New Roman" w:cs="Times New Roman"/>
          <w:sz w:val="28"/>
          <w:szCs w:val="28"/>
        </w:rPr>
        <w:t xml:space="preserve">Controlul executării prezentei decizii se atribuie președintelui raionului, dlui Ion </w:t>
      </w:r>
      <w:proofErr w:type="spellStart"/>
      <w:r w:rsidRPr="00DB5861">
        <w:rPr>
          <w:rFonts w:ascii="Times New Roman" w:hAnsi="Times New Roman" w:cs="Times New Roman"/>
          <w:sz w:val="28"/>
          <w:szCs w:val="28"/>
        </w:rPr>
        <w:t>Diavor</w:t>
      </w:r>
      <w:proofErr w:type="spellEnd"/>
      <w:r w:rsidRPr="00DB5861">
        <w:rPr>
          <w:rFonts w:ascii="Times New Roman" w:hAnsi="Times New Roman" w:cs="Times New Roman"/>
          <w:sz w:val="28"/>
          <w:szCs w:val="28"/>
        </w:rPr>
        <w:t>.</w:t>
      </w:r>
      <w:r w:rsidRPr="00DB5861">
        <w:rPr>
          <w:rFonts w:ascii="Times New Roman" w:hAnsi="Times New Roman" w:cs="Times New Roman"/>
          <w:sz w:val="28"/>
          <w:szCs w:val="28"/>
        </w:rPr>
        <w:tab/>
      </w:r>
    </w:p>
    <w:p w:rsidR="007A1BC2" w:rsidRDefault="007A1BC2" w:rsidP="007A1BC2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EE5017" w:rsidRPr="00483291" w:rsidRDefault="00EE5017" w:rsidP="007A1BC2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7A1BC2" w:rsidRPr="00483291" w:rsidRDefault="007A1BC2" w:rsidP="007A1BC2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483291">
        <w:rPr>
          <w:rFonts w:ascii="Times New Roman" w:hAnsi="Times New Roman" w:cs="Times New Roman"/>
          <w:b/>
          <w:sz w:val="26"/>
          <w:szCs w:val="26"/>
          <w:lang w:val="it-IT"/>
        </w:rPr>
        <w:t>Avizat:</w:t>
      </w:r>
    </w:p>
    <w:p w:rsidR="007A1BC2" w:rsidRPr="00666F53" w:rsidRDefault="007A1BC2" w:rsidP="007A1BC2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83291">
        <w:rPr>
          <w:rFonts w:ascii="Times New Roman" w:hAnsi="Times New Roman" w:cs="Times New Roman"/>
          <w:b/>
          <w:sz w:val="26"/>
          <w:szCs w:val="26"/>
          <w:lang w:val="it-IT"/>
        </w:rPr>
        <w:t xml:space="preserve">Secretara Consiliului </w:t>
      </w:r>
      <w:proofErr w:type="spellStart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>raional</w:t>
      </w:r>
      <w:proofErr w:type="spellEnd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D30709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proofErr w:type="spellStart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>Olesea</w:t>
      </w:r>
      <w:proofErr w:type="spellEnd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>Beschieru</w:t>
      </w:r>
      <w:proofErr w:type="spellEnd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</w:t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  <w:t xml:space="preserve"> </w:t>
      </w:r>
    </w:p>
    <w:p w:rsidR="007A1BC2" w:rsidRPr="00666F53" w:rsidRDefault="007A1BC2" w:rsidP="007A1B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>Contrasemnat</w:t>
      </w:r>
      <w:proofErr w:type="spellEnd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7A1BC2" w:rsidRPr="00666F53" w:rsidRDefault="007A1BC2" w:rsidP="007A1B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>Șefa</w:t>
      </w:r>
      <w:proofErr w:type="spellEnd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>Serviciului</w:t>
      </w:r>
      <w:proofErr w:type="spellEnd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>resurse</w:t>
      </w:r>
      <w:proofErr w:type="spellEnd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>u</w:t>
      </w:r>
      <w:r w:rsidR="00AC7D65" w:rsidRPr="00666F53">
        <w:rPr>
          <w:rFonts w:ascii="Times New Roman" w:hAnsi="Times New Roman" w:cs="Times New Roman"/>
          <w:b/>
          <w:sz w:val="26"/>
          <w:szCs w:val="26"/>
          <w:lang w:val="en-US"/>
        </w:rPr>
        <w:t>mane</w:t>
      </w:r>
      <w:proofErr w:type="spellEnd"/>
      <w:r w:rsidR="00AC7D65"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AC7D65"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AC7D65"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AC7D65" w:rsidRPr="00666F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38626A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D30709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 xml:space="preserve">Tatiana </w:t>
      </w:r>
      <w:proofErr w:type="spellStart"/>
      <w:r w:rsidRPr="00666F53">
        <w:rPr>
          <w:rFonts w:ascii="Times New Roman" w:hAnsi="Times New Roman" w:cs="Times New Roman"/>
          <w:b/>
          <w:sz w:val="26"/>
          <w:szCs w:val="26"/>
          <w:lang w:val="en-US"/>
        </w:rPr>
        <w:t>Drumea</w:t>
      </w:r>
      <w:proofErr w:type="spellEnd"/>
    </w:p>
    <w:p w:rsidR="007A1BC2" w:rsidRPr="006B57C5" w:rsidRDefault="007A1BC2" w:rsidP="007A1BC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AB2CE5" w:rsidRDefault="00AB2CE5" w:rsidP="00DB5861">
      <w:pPr>
        <w:rPr>
          <w:rFonts w:ascii="Times New Roman" w:eastAsia="Times New Roman" w:hAnsi="Times New Roman" w:cs="Times New Roman"/>
          <w:b/>
          <w:bCs/>
          <w:lang w:val="en-US"/>
        </w:rPr>
      </w:pPr>
    </w:p>
    <w:p w:rsidR="00087194" w:rsidRDefault="00087194" w:rsidP="007A1BC2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:rsidR="00087194" w:rsidRDefault="00087194" w:rsidP="007A1BC2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:rsidR="007A1BC2" w:rsidRPr="006B57C5" w:rsidRDefault="007A1BC2" w:rsidP="007A1BC2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6B57C5">
        <w:rPr>
          <w:rFonts w:ascii="Times New Roman" w:eastAsia="Times New Roman" w:hAnsi="Times New Roman" w:cs="Times New Roman"/>
          <w:b/>
          <w:bCs/>
          <w:lang w:val="en-US"/>
        </w:rPr>
        <w:t>AVIZ</w:t>
      </w:r>
    </w:p>
    <w:p w:rsidR="007A1BC2" w:rsidRPr="00EE5017" w:rsidRDefault="007A1BC2" w:rsidP="007A1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asupra</w:t>
      </w:r>
      <w:proofErr w:type="spellEnd"/>
      <w:proofErr w:type="gram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proiectului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E501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„</w:t>
      </w:r>
      <w:r w:rsidRPr="00EE50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01204" w:rsidRPr="00EE5017">
        <w:rPr>
          <w:rFonts w:ascii="Times New Roman" w:hAnsi="Times New Roman" w:cs="Times New Roman"/>
          <w:b/>
          <w:i/>
          <w:sz w:val="28"/>
          <w:szCs w:val="28"/>
        </w:rPr>
        <w:t xml:space="preserve">Cu privire la modificarea Deciziei Consiliului raional nr. </w:t>
      </w:r>
      <w:r w:rsidR="00DB5861" w:rsidRPr="00EE501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01204" w:rsidRPr="00EE5017">
        <w:rPr>
          <w:rFonts w:ascii="Times New Roman" w:hAnsi="Times New Roman" w:cs="Times New Roman"/>
          <w:b/>
          <w:i/>
          <w:sz w:val="28"/>
          <w:szCs w:val="28"/>
        </w:rPr>
        <w:t>/1</w:t>
      </w:r>
      <w:r w:rsidR="00DB5861" w:rsidRPr="00EE5017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201204" w:rsidRPr="00EE5017">
        <w:rPr>
          <w:rFonts w:ascii="Times New Roman" w:hAnsi="Times New Roman" w:cs="Times New Roman"/>
          <w:b/>
          <w:i/>
          <w:sz w:val="28"/>
          <w:szCs w:val="28"/>
        </w:rPr>
        <w:t xml:space="preserve"> din 1</w:t>
      </w:r>
      <w:r w:rsidR="00DB5861" w:rsidRPr="00EE5017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201204" w:rsidRPr="00EE5017">
        <w:rPr>
          <w:rFonts w:ascii="Times New Roman" w:hAnsi="Times New Roman" w:cs="Times New Roman"/>
          <w:b/>
          <w:i/>
          <w:sz w:val="28"/>
          <w:szCs w:val="28"/>
        </w:rPr>
        <w:t>.12.202</w:t>
      </w:r>
      <w:r w:rsidR="00483291" w:rsidRPr="00EE501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01204" w:rsidRPr="00EE5017">
        <w:rPr>
          <w:rFonts w:ascii="Times New Roman" w:hAnsi="Times New Roman" w:cs="Times New Roman"/>
          <w:b/>
          <w:i/>
          <w:sz w:val="28"/>
          <w:szCs w:val="28"/>
        </w:rPr>
        <w:t xml:space="preserve"> „</w:t>
      </w:r>
      <w:r w:rsidRPr="00EE5017">
        <w:rPr>
          <w:rFonts w:ascii="Times New Roman" w:hAnsi="Times New Roman" w:cs="Times New Roman"/>
          <w:b/>
          <w:i/>
          <w:sz w:val="28"/>
          <w:szCs w:val="28"/>
        </w:rPr>
        <w:t>Cu privire la aprobarea  organigramei și efectivului-limită</w:t>
      </w:r>
    </w:p>
    <w:p w:rsidR="007A1BC2" w:rsidRPr="00EE5017" w:rsidRDefault="007A1BC2" w:rsidP="007A1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5017">
        <w:rPr>
          <w:rFonts w:ascii="Times New Roman" w:hAnsi="Times New Roman" w:cs="Times New Roman"/>
          <w:b/>
          <w:i/>
          <w:sz w:val="28"/>
          <w:szCs w:val="28"/>
        </w:rPr>
        <w:t>al Aparatului Președintelui raionului și subdiviziunilor</w:t>
      </w:r>
    </w:p>
    <w:p w:rsidR="007A1BC2" w:rsidRPr="00EE5017" w:rsidRDefault="007A1BC2" w:rsidP="007A1B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5017">
        <w:rPr>
          <w:rFonts w:ascii="Times New Roman" w:hAnsi="Times New Roman" w:cs="Times New Roman"/>
          <w:b/>
          <w:i/>
          <w:sz w:val="28"/>
          <w:szCs w:val="28"/>
        </w:rPr>
        <w:t>subordonate Consiliului raional</w:t>
      </w:r>
      <w:r w:rsidRPr="00EE5017">
        <w:rPr>
          <w:rFonts w:ascii="Times New Roman" w:hAnsi="Times New Roman" w:cs="Times New Roman"/>
          <w:i/>
          <w:sz w:val="28"/>
          <w:szCs w:val="28"/>
        </w:rPr>
        <w:t>.</w:t>
      </w:r>
      <w:r w:rsidRPr="00EE501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”</w:t>
      </w:r>
      <w:r w:rsidR="00201204" w:rsidRPr="00EE501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”</w:t>
      </w:r>
    </w:p>
    <w:p w:rsidR="007A1BC2" w:rsidRPr="00EE5017" w:rsidRDefault="007A1BC2" w:rsidP="007A1BC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7A1BC2" w:rsidRPr="00E433BE" w:rsidRDefault="007A1BC2" w:rsidP="007A1BC2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Serviciul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juridic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examinat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propus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spre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examinare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ședința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Consiliului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raional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data </w:t>
      </w:r>
      <w:proofErr w:type="gram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de  </w:t>
      </w:r>
      <w:r w:rsidR="00EE501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19</w:t>
      </w:r>
      <w:proofErr w:type="gram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46EE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februarie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curent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7A1BC2" w:rsidRPr="00E433BE" w:rsidRDefault="007A1BC2" w:rsidP="007A1BC2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fost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elaborat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proofErr w:type="gram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propunerea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pre</w:t>
      </w:r>
      <w:proofErr w:type="gram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ședintelui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raionului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are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caracter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public,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obligatoriu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general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impersonal, cu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efect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juridic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permite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integrarea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organică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cadrul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normativ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vigoare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evitându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-se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formulări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termeni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permite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o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interpretare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cu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sens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ambiguu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neuniformă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7A1BC2" w:rsidRPr="00E433BE" w:rsidRDefault="007A1BC2" w:rsidP="007A1BC2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deciziei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date </w:t>
      </w:r>
      <w:proofErr w:type="spellStart"/>
      <w:proofErr w:type="gram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este</w:t>
      </w:r>
      <w:proofErr w:type="spellEnd"/>
      <w:proofErr w:type="gram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corelat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cu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prevederile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actelor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normative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nivel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superior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același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nivel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cu care se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află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conexiune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referindu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-se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exclusiv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subiectul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vizat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7A1BC2" w:rsidRPr="00E433BE" w:rsidRDefault="007A1BC2" w:rsidP="007A1BC2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deciziei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date nu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depășește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atribuțiile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Consiliului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raional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corespunde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principiilor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activității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elaborare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categoriei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actelor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administrației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publice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locale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nivelul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Normele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tehnică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legislativă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sunt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aplicate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modul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corespunzător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proiectelor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7A1BC2" w:rsidRPr="00E433BE" w:rsidRDefault="007A1BC2" w:rsidP="007A1BC2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Având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vedere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cele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expuse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supra,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Serviciul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juridic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susține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conceptual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deciziei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înaintat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formularea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propusă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7A1BC2" w:rsidRPr="00E433BE" w:rsidRDefault="007A1BC2" w:rsidP="007A1BC2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7A1BC2" w:rsidRPr="00E433BE" w:rsidRDefault="007A1BC2" w:rsidP="007A1BC2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33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Serviciul juridic                                        </w:t>
      </w:r>
      <w:r w:rsidR="00AC7D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AB2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Nicoleta </w:t>
      </w:r>
      <w:proofErr w:type="spellStart"/>
      <w:r w:rsidR="00AB2CE5">
        <w:rPr>
          <w:rFonts w:ascii="Times New Roman" w:eastAsia="Times New Roman" w:hAnsi="Times New Roman" w:cs="Times New Roman"/>
          <w:b/>
          <w:bCs/>
          <w:sz w:val="28"/>
          <w:szCs w:val="28"/>
        </w:rPr>
        <w:t>Fărîmă</w:t>
      </w:r>
      <w:proofErr w:type="spellEnd"/>
      <w:r w:rsidRPr="00E433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7A1BC2" w:rsidRDefault="007A1BC2" w:rsidP="007A1BC2"/>
    <w:p w:rsidR="007A1BC2" w:rsidRDefault="007A1BC2" w:rsidP="007A1BC2"/>
    <w:p w:rsidR="004953E9" w:rsidRDefault="004953E9" w:rsidP="004953E9">
      <w:pPr>
        <w:rPr>
          <w:rFonts w:ascii="Times New Roman" w:hAnsi="Times New Roman" w:cs="Times New Roman"/>
          <w:b/>
          <w:sz w:val="24"/>
          <w:szCs w:val="24"/>
        </w:rPr>
      </w:pPr>
    </w:p>
    <w:p w:rsidR="00CA7C9C" w:rsidRDefault="00CA7C9C" w:rsidP="004953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5861" w:rsidRDefault="00DB5861" w:rsidP="004953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5861" w:rsidRDefault="00DB5861" w:rsidP="004953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5861" w:rsidRDefault="00DB5861" w:rsidP="004953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5861" w:rsidRDefault="00DB5861" w:rsidP="004953E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Anexa nr. 8 </w:t>
      </w:r>
    </w:p>
    <w:p w:rsidR="00DB5861" w:rsidRDefault="00DB5861" w:rsidP="004953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1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4"/>
        <w:gridCol w:w="1263"/>
        <w:gridCol w:w="1136"/>
      </w:tblGrid>
      <w:tr w:rsidR="00AB2CE5" w:rsidRPr="00A8681F" w:rsidTr="00181097">
        <w:tc>
          <w:tcPr>
            <w:tcW w:w="8977" w:type="dxa"/>
            <w:gridSpan w:val="2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681F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8681F">
              <w:rPr>
                <w:rFonts w:ascii="Times New Roman" w:hAnsi="Times New Roman" w:cs="Times New Roman"/>
                <w:b/>
              </w:rPr>
              <w:t xml:space="preserve">  Centrul de Crea</w:t>
            </w:r>
            <w:r w:rsidRPr="00A8681F">
              <w:rPr>
                <w:rFonts w:cs="Times New Roman"/>
                <w:b/>
              </w:rPr>
              <w:t>ț</w:t>
            </w:r>
            <w:r w:rsidRPr="00A8681F">
              <w:rPr>
                <w:rFonts w:ascii="Times New Roman" w:hAnsi="Times New Roman" w:cs="Times New Roman"/>
                <w:b/>
              </w:rPr>
              <w:t>ie al Copiilor Nisporeni</w:t>
            </w:r>
          </w:p>
        </w:tc>
        <w:tc>
          <w:tcPr>
            <w:tcW w:w="1136" w:type="dxa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2CE5" w:rsidRPr="00A8681F" w:rsidTr="00181097">
        <w:tc>
          <w:tcPr>
            <w:tcW w:w="7714" w:type="dxa"/>
          </w:tcPr>
          <w:p w:rsidR="00AB2CE5" w:rsidRPr="00A8681F" w:rsidRDefault="00AB2CE5" w:rsidP="00086002">
            <w:pPr>
              <w:spacing w:after="0"/>
              <w:rPr>
                <w:rFonts w:ascii="Times New Roman" w:hAnsi="Times New Roman" w:cs="Times New Roman"/>
              </w:rPr>
            </w:pPr>
            <w:r w:rsidRPr="00A8681F">
              <w:rPr>
                <w:rFonts w:ascii="Times New Roman" w:hAnsi="Times New Roman" w:cs="Times New Roman"/>
              </w:rPr>
              <w:t>Director</w:t>
            </w:r>
            <w:r>
              <w:rPr>
                <w:rFonts w:ascii="Times New Roman" w:hAnsi="Times New Roman" w:cs="Times New Roman"/>
              </w:rPr>
              <w:t xml:space="preserve"> / directoare</w:t>
            </w:r>
          </w:p>
        </w:tc>
        <w:tc>
          <w:tcPr>
            <w:tcW w:w="1263" w:type="dxa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681F">
              <w:rPr>
                <w:rFonts w:ascii="Times New Roman" w:hAnsi="Times New Roman" w:cs="Times New Roman"/>
                <w:lang w:val="en-US"/>
              </w:rPr>
              <w:t>1,0</w:t>
            </w:r>
          </w:p>
        </w:tc>
        <w:tc>
          <w:tcPr>
            <w:tcW w:w="1136" w:type="dxa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2CE5" w:rsidRPr="00A8681F" w:rsidTr="00181097">
        <w:tc>
          <w:tcPr>
            <w:tcW w:w="7714" w:type="dxa"/>
          </w:tcPr>
          <w:p w:rsidR="00AB2CE5" w:rsidRPr="00A8681F" w:rsidRDefault="00AB2CE5" w:rsidP="00086002">
            <w:pPr>
              <w:spacing w:after="0"/>
              <w:rPr>
                <w:rFonts w:ascii="Times New Roman" w:hAnsi="Times New Roman" w:cs="Times New Roman"/>
              </w:rPr>
            </w:pPr>
            <w:r w:rsidRPr="00A8681F">
              <w:rPr>
                <w:rFonts w:ascii="Times New Roman" w:hAnsi="Times New Roman" w:cs="Times New Roman"/>
              </w:rPr>
              <w:t>Intendent</w:t>
            </w:r>
            <w:r>
              <w:rPr>
                <w:rFonts w:ascii="Times New Roman" w:hAnsi="Times New Roman" w:cs="Times New Roman"/>
              </w:rPr>
              <w:t xml:space="preserve"> / intendentă</w:t>
            </w:r>
          </w:p>
        </w:tc>
        <w:tc>
          <w:tcPr>
            <w:tcW w:w="1263" w:type="dxa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681F">
              <w:rPr>
                <w:rFonts w:ascii="Times New Roman" w:hAnsi="Times New Roman" w:cs="Times New Roman"/>
                <w:lang w:val="en-US"/>
              </w:rPr>
              <w:t>0,25</w:t>
            </w:r>
          </w:p>
        </w:tc>
        <w:tc>
          <w:tcPr>
            <w:tcW w:w="1136" w:type="dxa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2CE5" w:rsidRPr="00A8681F" w:rsidTr="00181097">
        <w:tc>
          <w:tcPr>
            <w:tcW w:w="7714" w:type="dxa"/>
          </w:tcPr>
          <w:p w:rsidR="00AB2CE5" w:rsidRPr="00A8681F" w:rsidRDefault="00AB2CE5" w:rsidP="0008600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8681F">
              <w:rPr>
                <w:rFonts w:ascii="Times New Roman" w:hAnsi="Times New Roman" w:cs="Times New Roman"/>
                <w:color w:val="000000"/>
                <w:lang w:val="en-GB"/>
              </w:rPr>
              <w:t>Îngrijitoare</w:t>
            </w:r>
            <w:proofErr w:type="spellEnd"/>
            <w:r w:rsidRPr="00A8681F">
              <w:rPr>
                <w:rFonts w:ascii="Times New Roman" w:hAnsi="Times New Roman" w:cs="Times New Roman"/>
                <w:color w:val="000000"/>
                <w:lang w:val="en-GB"/>
              </w:rPr>
              <w:t xml:space="preserve"> de </w:t>
            </w:r>
            <w:proofErr w:type="spellStart"/>
            <w:r w:rsidRPr="00A8681F">
              <w:rPr>
                <w:rFonts w:ascii="Times New Roman" w:hAnsi="Times New Roman" w:cs="Times New Roman"/>
                <w:color w:val="000000"/>
                <w:lang w:val="en-GB"/>
              </w:rPr>
              <w:t>încăperi</w:t>
            </w:r>
            <w:proofErr w:type="spellEnd"/>
          </w:p>
        </w:tc>
        <w:tc>
          <w:tcPr>
            <w:tcW w:w="1263" w:type="dxa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681F">
              <w:rPr>
                <w:rFonts w:ascii="Times New Roman" w:hAnsi="Times New Roman" w:cs="Times New Roman"/>
                <w:lang w:val="en-US"/>
              </w:rPr>
              <w:t>1,0</w:t>
            </w:r>
          </w:p>
        </w:tc>
        <w:tc>
          <w:tcPr>
            <w:tcW w:w="1136" w:type="dxa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2CE5" w:rsidRPr="00A8681F" w:rsidTr="00181097">
        <w:tc>
          <w:tcPr>
            <w:tcW w:w="7714" w:type="dxa"/>
          </w:tcPr>
          <w:p w:rsidR="00AB2CE5" w:rsidRPr="00A8681F" w:rsidRDefault="00AB2CE5" w:rsidP="00086002">
            <w:pPr>
              <w:spacing w:after="0"/>
              <w:rPr>
                <w:rFonts w:ascii="Times New Roman" w:hAnsi="Times New Roman" w:cs="Times New Roman"/>
              </w:rPr>
            </w:pPr>
            <w:r w:rsidRPr="00A8681F">
              <w:rPr>
                <w:rFonts w:ascii="Times New Roman" w:hAnsi="Times New Roman" w:cs="Times New Roman"/>
              </w:rPr>
              <w:t>Muncitor</w:t>
            </w:r>
            <w:r>
              <w:rPr>
                <w:rFonts w:ascii="Times New Roman" w:hAnsi="Times New Roman" w:cs="Times New Roman"/>
              </w:rPr>
              <w:t xml:space="preserve"> / muncitoare</w:t>
            </w:r>
          </w:p>
        </w:tc>
        <w:tc>
          <w:tcPr>
            <w:tcW w:w="1263" w:type="dxa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681F">
              <w:rPr>
                <w:rFonts w:ascii="Times New Roman" w:hAnsi="Times New Roman" w:cs="Times New Roman"/>
                <w:lang w:val="en-US"/>
              </w:rPr>
              <w:t>0,25</w:t>
            </w:r>
          </w:p>
        </w:tc>
        <w:tc>
          <w:tcPr>
            <w:tcW w:w="1136" w:type="dxa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2CE5" w:rsidRPr="00A8681F" w:rsidTr="00181097">
        <w:tc>
          <w:tcPr>
            <w:tcW w:w="7714" w:type="dxa"/>
          </w:tcPr>
          <w:p w:rsidR="00AB2CE5" w:rsidRPr="00A8681F" w:rsidRDefault="00AB2CE5" w:rsidP="00086002">
            <w:pPr>
              <w:spacing w:after="0"/>
              <w:rPr>
                <w:rFonts w:ascii="Times New Roman" w:hAnsi="Times New Roman" w:cs="Times New Roman"/>
              </w:rPr>
            </w:pPr>
            <w:r w:rsidRPr="00A8681F">
              <w:rPr>
                <w:rFonts w:ascii="Times New Roman" w:hAnsi="Times New Roman" w:cs="Times New Roman"/>
                <w:lang w:val="it-IT"/>
              </w:rPr>
              <w:t xml:space="preserve">Operator </w:t>
            </w:r>
            <w:r>
              <w:rPr>
                <w:rFonts w:ascii="Times New Roman" w:hAnsi="Times New Roman" w:cs="Times New Roman"/>
                <w:lang w:val="it-IT"/>
              </w:rPr>
              <w:t xml:space="preserve">/ operatoare </w:t>
            </w:r>
            <w:r w:rsidRPr="00A8681F">
              <w:rPr>
                <w:rFonts w:ascii="Times New Roman" w:hAnsi="Times New Roman" w:cs="Times New Roman"/>
              </w:rPr>
              <w:t>în sala cu cazane</w:t>
            </w:r>
          </w:p>
        </w:tc>
        <w:tc>
          <w:tcPr>
            <w:tcW w:w="1263" w:type="dxa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681F">
              <w:rPr>
                <w:rFonts w:ascii="Times New Roman" w:hAnsi="Times New Roman" w:cs="Times New Roman"/>
                <w:lang w:val="en-US"/>
              </w:rPr>
              <w:t>1,0</w:t>
            </w:r>
          </w:p>
        </w:tc>
        <w:tc>
          <w:tcPr>
            <w:tcW w:w="1136" w:type="dxa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2CE5" w:rsidRPr="00A8681F" w:rsidTr="00181097">
        <w:tc>
          <w:tcPr>
            <w:tcW w:w="7714" w:type="dxa"/>
          </w:tcPr>
          <w:p w:rsidR="00AB2CE5" w:rsidRPr="00A8681F" w:rsidRDefault="00AB2CE5" w:rsidP="00086002">
            <w:pPr>
              <w:spacing w:after="0"/>
              <w:rPr>
                <w:rFonts w:ascii="Times New Roman" w:hAnsi="Times New Roman" w:cs="Times New Roman"/>
              </w:rPr>
            </w:pPr>
            <w:r w:rsidRPr="00A8681F">
              <w:rPr>
                <w:rFonts w:ascii="Times New Roman" w:hAnsi="Times New Roman" w:cs="Times New Roman"/>
              </w:rPr>
              <w:t xml:space="preserve">Conducător </w:t>
            </w:r>
            <w:r>
              <w:rPr>
                <w:rFonts w:ascii="Times New Roman" w:hAnsi="Times New Roman" w:cs="Times New Roman"/>
              </w:rPr>
              <w:t xml:space="preserve">/ conducătoare </w:t>
            </w:r>
            <w:r w:rsidRPr="00A8681F">
              <w:rPr>
                <w:rFonts w:ascii="Times New Roman" w:hAnsi="Times New Roman" w:cs="Times New Roman"/>
              </w:rPr>
              <w:t>de cerc</w:t>
            </w:r>
          </w:p>
        </w:tc>
        <w:tc>
          <w:tcPr>
            <w:tcW w:w="1263" w:type="dxa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681F">
              <w:rPr>
                <w:rFonts w:ascii="Times New Roman" w:hAnsi="Times New Roman" w:cs="Times New Roman"/>
                <w:lang w:val="en-US"/>
              </w:rPr>
              <w:t>8,5</w:t>
            </w:r>
          </w:p>
        </w:tc>
        <w:tc>
          <w:tcPr>
            <w:tcW w:w="1136" w:type="dxa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2CE5" w:rsidRPr="00A8681F" w:rsidTr="00181097">
        <w:tc>
          <w:tcPr>
            <w:tcW w:w="7714" w:type="dxa"/>
          </w:tcPr>
          <w:p w:rsidR="00AB2CE5" w:rsidRPr="00A8681F" w:rsidRDefault="00AB2CE5" w:rsidP="000860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8681F">
              <w:rPr>
                <w:rFonts w:ascii="Times New Roman" w:hAnsi="Times New Roman" w:cs="Times New Roman"/>
                <w:b/>
              </w:rPr>
              <w:t>Total centru:</w:t>
            </w:r>
          </w:p>
        </w:tc>
        <w:tc>
          <w:tcPr>
            <w:tcW w:w="1263" w:type="dxa"/>
          </w:tcPr>
          <w:p w:rsidR="00AB2CE5" w:rsidRPr="00A8681F" w:rsidRDefault="00AB2CE5" w:rsidP="0018109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8681F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18109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A8681F">
              <w:rPr>
                <w:rFonts w:ascii="Times New Roman" w:hAnsi="Times New Roman" w:cs="Times New Roman"/>
                <w:b/>
                <w:lang w:val="en-US"/>
              </w:rPr>
              <w:t>,0</w:t>
            </w:r>
          </w:p>
        </w:tc>
        <w:tc>
          <w:tcPr>
            <w:tcW w:w="1136" w:type="dxa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B2CE5" w:rsidRPr="00A8681F" w:rsidTr="00181097">
        <w:tc>
          <w:tcPr>
            <w:tcW w:w="7714" w:type="dxa"/>
          </w:tcPr>
          <w:p w:rsidR="00AB2CE5" w:rsidRPr="00A8681F" w:rsidRDefault="00AB2CE5" w:rsidP="000860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8681F">
              <w:rPr>
                <w:rFonts w:ascii="Times New Roman" w:hAnsi="Times New Roman" w:cs="Times New Roman"/>
                <w:b/>
              </w:rPr>
              <w:t xml:space="preserve">Total </w:t>
            </w:r>
            <w:r>
              <w:rPr>
                <w:rFonts w:ascii="Times New Roman" w:hAnsi="Times New Roman" w:cs="Times New Roman"/>
                <w:b/>
              </w:rPr>
              <w:t>Direcția Învățământ Tineret și Sport</w:t>
            </w:r>
            <w:r w:rsidRPr="00A8681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63" w:type="dxa"/>
          </w:tcPr>
          <w:p w:rsidR="00AB2CE5" w:rsidRPr="00A8681F" w:rsidRDefault="00AB2CE5" w:rsidP="0018109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181097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,5</w:t>
            </w:r>
          </w:p>
        </w:tc>
        <w:tc>
          <w:tcPr>
            <w:tcW w:w="1136" w:type="dxa"/>
          </w:tcPr>
          <w:p w:rsidR="00AB2CE5" w:rsidRPr="00A8681F" w:rsidRDefault="00AB2CE5" w:rsidP="00086002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</w:tbl>
    <w:p w:rsidR="00066A8F" w:rsidRDefault="00066A8F" w:rsidP="00AB2CE5">
      <w:pPr>
        <w:jc w:val="right"/>
      </w:pPr>
    </w:p>
    <w:sectPr w:rsidR="00066A8F" w:rsidSect="00087194">
      <w:pgSz w:w="11906" w:h="16838"/>
      <w:pgMar w:top="568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F9B"/>
    <w:multiLevelType w:val="hybridMultilevel"/>
    <w:tmpl w:val="C9CC315A"/>
    <w:lvl w:ilvl="0" w:tplc="0418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563322BD"/>
    <w:multiLevelType w:val="hybridMultilevel"/>
    <w:tmpl w:val="223466D6"/>
    <w:lvl w:ilvl="0" w:tplc="6BCCD8C2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i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A191DF5"/>
    <w:multiLevelType w:val="hybridMultilevel"/>
    <w:tmpl w:val="D72653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D6D72"/>
    <w:multiLevelType w:val="hybridMultilevel"/>
    <w:tmpl w:val="04C8D2B8"/>
    <w:lvl w:ilvl="0" w:tplc="EFAE82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3FC5EBC"/>
    <w:multiLevelType w:val="hybridMultilevel"/>
    <w:tmpl w:val="0DDC0E90"/>
    <w:lvl w:ilvl="0" w:tplc="089A6C1C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i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65"/>
    <w:rsid w:val="00022ED8"/>
    <w:rsid w:val="00066A8F"/>
    <w:rsid w:val="00073A23"/>
    <w:rsid w:val="00074792"/>
    <w:rsid w:val="00087194"/>
    <w:rsid w:val="0009769F"/>
    <w:rsid w:val="000A4C11"/>
    <w:rsid w:val="001027EF"/>
    <w:rsid w:val="001063A9"/>
    <w:rsid w:val="00146645"/>
    <w:rsid w:val="00150108"/>
    <w:rsid w:val="00181097"/>
    <w:rsid w:val="001E2E20"/>
    <w:rsid w:val="00201204"/>
    <w:rsid w:val="00276188"/>
    <w:rsid w:val="00294342"/>
    <w:rsid w:val="002A37D7"/>
    <w:rsid w:val="002E3B9F"/>
    <w:rsid w:val="002E5B91"/>
    <w:rsid w:val="00310975"/>
    <w:rsid w:val="0038626A"/>
    <w:rsid w:val="00392446"/>
    <w:rsid w:val="004158BB"/>
    <w:rsid w:val="0042217C"/>
    <w:rsid w:val="004568AF"/>
    <w:rsid w:val="00483291"/>
    <w:rsid w:val="00490C75"/>
    <w:rsid w:val="004953E9"/>
    <w:rsid w:val="00546EED"/>
    <w:rsid w:val="005C5C5E"/>
    <w:rsid w:val="00666F53"/>
    <w:rsid w:val="006920D1"/>
    <w:rsid w:val="006D1CF8"/>
    <w:rsid w:val="00722950"/>
    <w:rsid w:val="00760454"/>
    <w:rsid w:val="007A1BC2"/>
    <w:rsid w:val="007E2C25"/>
    <w:rsid w:val="00843C7A"/>
    <w:rsid w:val="008609FD"/>
    <w:rsid w:val="0088744A"/>
    <w:rsid w:val="008B7718"/>
    <w:rsid w:val="008D3D85"/>
    <w:rsid w:val="008F7982"/>
    <w:rsid w:val="009073FC"/>
    <w:rsid w:val="00936F9A"/>
    <w:rsid w:val="009C319D"/>
    <w:rsid w:val="009C65EC"/>
    <w:rsid w:val="009C7475"/>
    <w:rsid w:val="00A01F1C"/>
    <w:rsid w:val="00A860DE"/>
    <w:rsid w:val="00AB2CE5"/>
    <w:rsid w:val="00AC7D65"/>
    <w:rsid w:val="00B123A3"/>
    <w:rsid w:val="00B35FA1"/>
    <w:rsid w:val="00C33FFD"/>
    <w:rsid w:val="00C54A95"/>
    <w:rsid w:val="00CA7C9C"/>
    <w:rsid w:val="00D01F6F"/>
    <w:rsid w:val="00D02E3F"/>
    <w:rsid w:val="00D041BB"/>
    <w:rsid w:val="00D30709"/>
    <w:rsid w:val="00D3467F"/>
    <w:rsid w:val="00D71865"/>
    <w:rsid w:val="00D875D4"/>
    <w:rsid w:val="00DB5861"/>
    <w:rsid w:val="00DC3683"/>
    <w:rsid w:val="00E11F81"/>
    <w:rsid w:val="00E15658"/>
    <w:rsid w:val="00E35C3E"/>
    <w:rsid w:val="00E42CAA"/>
    <w:rsid w:val="00EC1F0A"/>
    <w:rsid w:val="00EE2388"/>
    <w:rsid w:val="00EE5017"/>
    <w:rsid w:val="00EF122C"/>
    <w:rsid w:val="00EF4FD6"/>
    <w:rsid w:val="00F15E3B"/>
    <w:rsid w:val="00F45552"/>
    <w:rsid w:val="00F464D7"/>
    <w:rsid w:val="00F57A17"/>
    <w:rsid w:val="00F90646"/>
    <w:rsid w:val="00FD26AF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7321"/>
  <w15:chartTrackingRefBased/>
  <w15:docId w15:val="{0AAE049C-6A57-456A-AFC4-EEE34E4D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BC2"/>
    <w:pPr>
      <w:spacing w:after="200" w:line="276" w:lineRule="auto"/>
    </w:pPr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uiPriority w:val="99"/>
    <w:rsid w:val="007A1BC2"/>
    <w:rPr>
      <w:rFonts w:ascii="Times New Roman" w:hAnsi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7A1BC2"/>
    <w:pPr>
      <w:ind w:left="720"/>
      <w:contextualSpacing/>
    </w:pPr>
  </w:style>
  <w:style w:type="paragraph" w:styleId="a4">
    <w:name w:val="No Spacing"/>
    <w:uiPriority w:val="99"/>
    <w:qFormat/>
    <w:rsid w:val="00DC368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35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5C3E"/>
    <w:rPr>
      <w:rFonts w:ascii="Segoe UI" w:eastAsiaTheme="minorEastAsia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Butnaru Leonid</dc:creator>
  <cp:keywords/>
  <dc:description/>
  <cp:lastModifiedBy>Secretar</cp:lastModifiedBy>
  <cp:revision>14</cp:revision>
  <cp:lastPrinted>2026-02-05T14:09:00Z</cp:lastPrinted>
  <dcterms:created xsi:type="dcterms:W3CDTF">2025-02-06T09:28:00Z</dcterms:created>
  <dcterms:modified xsi:type="dcterms:W3CDTF">2026-02-17T08:24:00Z</dcterms:modified>
</cp:coreProperties>
</file>